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2652.xml.htm"/>
      <w:bookmarkStart w:id="1" w:name="kswkform4_17877826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Pelizzon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SQUADRON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25.75</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6,897,764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24.74</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6,881,464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24.28</w:t>
            </w:r>
            <w:r>
              <w:rPr>
                <w:rFonts w:ascii="Times;serif" w:hAnsi="Times;serif"/>
                <w:color w:val="008000"/>
                <w:position w:val="7"/>
                <w:sz w:val="16"/>
                <w:sz w:val="20"/>
                <w:shd w:fill="FFFFFF" w:val="clear"/>
              </w:rPr>
              <w:t>(5)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6,863,464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44,384</w:t>
            </w:r>
            <w:r>
              <w:rPr>
                <w:rFonts w:ascii="Times;serif" w:hAnsi="Times;serif"/>
                <w:color w:val="008000"/>
                <w:position w:val="7"/>
                <w:sz w:val="16"/>
                <w:sz w:val="20"/>
                <w:shd w:fill="FFFFFF" w:val="clear"/>
              </w:rPr>
              <w:t>(6)</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$25.50 to $25.82,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Squadron Capital LLC ("Squadron"). As the President and a member of the Managing Committee of Squadron, the reporting person may be deemed to be the beneficial owner of these shares. The reporting person expressly disclaims beneficial ownership of these shares, except to the extent of his pecuniary interest therein. The inclusion of these shares in this report shall not be deemed to be an admission of beneficial ownership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$24.53 to $24.88,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$24.13 to $24.36,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restricted stock awards totaling 17,959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J. Gerritzen,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17"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924</Words>
  <Characters>4960</Characters>
  <CharactersWithSpaces>5789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