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Pritzker Jennifer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 S. MICHIGAN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998"/>
        <w:gridCol w:w="431"/>
        <w:gridCol w:w="786"/>
        <w:gridCol w:w="1247"/>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326,700</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23.04</w:t>
            </w:r>
            <w:r>
              <w:rPr>
                <w:rFonts w:ascii="Times;serif" w:hAnsi="Times;serif"/>
                <w:color w:val="008000"/>
                <w:position w:val="7"/>
                <w:sz w:val="16"/>
                <w:sz w:val="20"/>
                <w:shd w:fill="FFFFFF" w:val="clear"/>
              </w:rPr>
              <w:t>(2)</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6,536,764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10,131</w:t>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23.1</w:t>
            </w:r>
            <w:r>
              <w:rPr>
                <w:rFonts w:ascii="Times;serif" w:hAnsi="Times;serif"/>
                <w:color w:val="008000"/>
                <w:position w:val="7"/>
                <w:sz w:val="16"/>
                <w:sz w:val="20"/>
                <w:shd w:fill="FFFFFF" w:val="clear"/>
              </w:rPr>
              <w:t>(4)</w:t>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6,526,633</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$23.00 to $23.82,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Squadron Capital LLC ("Squadron"), a manager-managed limited liability company. As one of two members of the Managing Committee of Squadron, the reporting person may be deemed to be the beneficial owner of these securities. The reporting person expressly disclaims beneficial ownership of these securities,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$23.00 to $23.58,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the Tawani Foundation. As the sole member of the Tawani Foundation,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are held by the Pritzker Military Foundation. As the sole member of the Pritzker Military Foundation,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by the reporting person's spouse, and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are held by the Pritzker Military Museum and Library ("PMML"). As the sole member of PMML, the reporting person may be deemed to be the beneficial owner of these shares. The reporting person expressly disclaims beneficial ownership of these shares, except to the extent of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N. Pritzker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0165"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5504</Characters>
  <CharactersWithSpaces>6424</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