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Squadron Capital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 HARTFORD AVE., PO BOX 223</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GRANBY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06035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ORTHOPEDIATRICS CORP</w:t>
              </w:r>
            </w:hyperlink>
            <w:r>
              <w:rPr/>
              <w:t xml:space="preserve"> [ </w:t>
            </w:r>
            <w:r>
              <w:rPr>
                <w:rFonts w:ascii="Times;serif" w:hAnsi="Times;serif"/>
                <w:color w:val="0000FF"/>
                <w:sz w:val="24"/>
                <w:shd w:fill="FFFFFF" w:val="clear"/>
              </w:rPr>
              <w:t>KIDS</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08/28/2026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7"/>
        <w:gridCol w:w="900"/>
        <w:gridCol w:w="771"/>
        <w:gridCol w:w="598"/>
        <w:gridCol w:w="342"/>
        <w:gridCol w:w="1003"/>
        <w:gridCol w:w="438"/>
        <w:gridCol w:w="789"/>
        <w:gridCol w:w="1257"/>
        <w:gridCol w:w="977"/>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3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326,700</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23.04</w:t>
            </w:r>
            <w:r>
              <w:rPr>
                <w:rFonts w:ascii="Times;serif" w:hAnsi="Times;serif"/>
                <w:color w:val="008000"/>
                <w:position w:val="7"/>
                <w:sz w:val="16"/>
                <w:sz w:val="20"/>
                <w:shd w:fill="FFFFFF" w:val="clear"/>
              </w:rPr>
              <w:t>(2)</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6,536,764</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(3)</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10,131</w:t>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23.1</w:t>
            </w:r>
            <w:r>
              <w:rPr>
                <w:rFonts w:ascii="Times;serif" w:hAnsi="Times;serif"/>
                <w:color w:val="008000"/>
                <w:position w:val="7"/>
                <w:sz w:val="16"/>
                <w:sz w:val="20"/>
                <w:shd w:fill="FFFFFF" w:val="clear"/>
              </w:rPr>
              <w:t>(4)</w:t>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6,526,633</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(3)</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Squadron Capital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 HARTFORD AVE., PO BOX 223</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GRANBY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06035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Squadron Capital Holdings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104 S. MICHIGAN AVE.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sale was undertaken by Squadron Capital LLC to provide additional capital for its other portfolio businesses.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$23.00 to $23.82,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securities are held directly by Squadron Capital LLC. Squadron Capital Holdings LLC is the controlling member of Squadron Capital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$23.00 to $23.58,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R. Pelizzon, President of Squadron Capital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Mary Falcon, Manager of Squadron Capital Holdings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19228" TargetMode="External"/><Relationship Id="rId5" Type="http://schemas.openxmlformats.org/officeDocument/2006/relationships/hyperlink" Target="http://www.sec.gov/cgi-bin/browse-edgar?action=getcompany&amp;CIK=000142545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719228" TargetMode="External"/><Relationship Id="rId9" Type="http://schemas.openxmlformats.org/officeDocument/2006/relationships/hyperlink" Target="http://www.sec.gov/cgi-bin/browse-edgar?action=getcompany&amp;CIK=0001731171"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822</Words>
  <Characters>4444</Characters>
  <CharactersWithSpaces>5161</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