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297228.xml.htm"/>
      <w:bookmarkStart w:id="1" w:name="kswkform4_178829722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Pelizzon David 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SQUADRON CAPITAL LLC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 HARTFORD AVE., PO BOX 223</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GRANBY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06035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ORTHOPEDIATRICS CORP</w:t>
              </w:r>
            </w:hyperlink>
            <w:r>
              <w:rPr/>
              <w:t xml:space="preserve"> [ </w:t>
            </w:r>
            <w:r>
              <w:rPr>
                <w:rFonts w:ascii="Times;serif" w:hAnsi="Times;serif"/>
                <w:color w:val="0000FF"/>
                <w:sz w:val="24"/>
                <w:shd w:fill="FFFFFF" w:val="clear"/>
              </w:rPr>
              <w:t>KIDS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46"/>
        <w:gridCol w:w="899"/>
        <w:gridCol w:w="771"/>
        <w:gridCol w:w="597"/>
        <w:gridCol w:w="339"/>
        <w:gridCol w:w="998"/>
        <w:gridCol w:w="431"/>
        <w:gridCol w:w="786"/>
        <w:gridCol w:w="1247"/>
        <w:gridCol w:w="968"/>
        <w:gridCol w:w="10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4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8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1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4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8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4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4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326,700</w:t>
            </w:r>
          </w:p>
        </w:tc>
        <w:tc>
          <w:tcPr>
            <w:tcW w:w="4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23.04</w:t>
            </w:r>
            <w:r>
              <w:rPr>
                <w:rFonts w:ascii="Times;serif" w:hAnsi="Times;serif"/>
                <w:color w:val="008000"/>
                <w:position w:val="7"/>
                <w:sz w:val="16"/>
                <w:sz w:val="20"/>
                <w:shd w:fill="FFFFFF" w:val="clear"/>
              </w:rPr>
              <w:t>(2)</w:t>
            </w:r>
          </w:p>
        </w:tc>
        <w:tc>
          <w:tcPr>
            <w:tcW w:w="12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6,536,764</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p>
        </w:tc>
      </w:tr>
      <w:tr>
        <w:trPr/>
        <w:tc>
          <w:tcPr>
            <w:tcW w:w="214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10,131</w:t>
            </w:r>
          </w:p>
        </w:tc>
        <w:tc>
          <w:tcPr>
            <w:tcW w:w="4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23.1</w:t>
            </w:r>
            <w:r>
              <w:rPr>
                <w:rFonts w:ascii="Times;serif" w:hAnsi="Times;serif"/>
                <w:color w:val="008000"/>
                <w:position w:val="7"/>
                <w:sz w:val="16"/>
                <w:sz w:val="20"/>
                <w:shd w:fill="FFFFFF" w:val="clear"/>
              </w:rPr>
              <w:t>(4)</w:t>
            </w:r>
          </w:p>
        </w:tc>
        <w:tc>
          <w:tcPr>
            <w:tcW w:w="12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6,526,633</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p>
        </w:tc>
      </w:tr>
      <w:tr>
        <w:trPr/>
        <w:tc>
          <w:tcPr>
            <w:tcW w:w="214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8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44,384</w:t>
            </w:r>
            <w:r>
              <w:rPr>
                <w:rFonts w:ascii="Times;serif" w:hAnsi="Times;serif"/>
                <w:color w:val="008000"/>
                <w:position w:val="7"/>
                <w:sz w:val="16"/>
                <w:sz w:val="20"/>
                <w:shd w:fill="FFFFFF" w:val="clear"/>
              </w:rPr>
              <w:t>(5)</w:t>
            </w:r>
          </w:p>
        </w:tc>
        <w:tc>
          <w:tcPr>
            <w:tcW w:w="9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sale was undertaken by Squadron Capital LLC to provide additional capital for its other portfolio businesses.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$23.00 to $23.82,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shares are held by Squadron Capital LLC ("Squadron"). As the President and a member of the Managing Committee of Squadron, the reporting person may be deemed to be the beneficial owner of these shares. The reporting person expressly disclaims beneficial ownership of these shares, except to the extent of his pecuniary interest therein. The inclusion of these shares in this report shall not be deemed to be an admission of beneficial ownership for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$23.00 to $23.58,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Includes restricted stock awards totaling 17,959 shares.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Daniel J. Gerritzen,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19217" TargetMode="External"/><Relationship Id="rId5" Type="http://schemas.openxmlformats.org/officeDocument/2006/relationships/hyperlink" Target="http://www.sec.gov/cgi-bin/browse-edgar?action=getcompany&amp;CIK=000142545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840</Words>
  <Characters>4522</Characters>
  <CharactersWithSpaces>5277</CharactersWithSpaces>
  <Paragraphs>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